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13EA" w14:textId="13297307" w:rsidR="00702281" w:rsidRDefault="005017FA">
      <w:r>
        <w:rPr>
          <w:rStyle w:val="Forte"/>
          <w:rFonts w:ascii="Lato" w:hAnsi="Lato"/>
          <w:color w:val="333333"/>
          <w:sz w:val="30"/>
          <w:szCs w:val="30"/>
        </w:rPr>
        <w:t>Documentação necessária para averbação de atas de eleição e posse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Livro Ata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- 02 (duas) vias digitadas da(s) ata(s), com as assinaturas dos eleitos em todas as folhas;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Edital de Convocação, publicado de conformidade com a previsão do respectivo estatuto social;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Lista de Presenças na Assembleia. Aconselha-se que a associação mantenha um livro de presenças, a fim de consignar as assinaturas de todos os presentes às assembleias;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Cópias autenticadas dos documentos pessoais de todos os eleitos (RG e CPF);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Requerimento firmado pelo representante legal da associação (com firma reconhecida), solicitando a averbação da(s) ata(s) no Serviço de Registro Civil de Pessoas Jurídicas, com a indicação do número de registro da associação no Cartório de Registro de Pessoas Jurídicas;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CARTÃO DO CNPJ;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Caso não conste da ata a qualificação dos eleitos, deverá ser feito um anexo de qualificação à ata de assembleia geral. A qualificação dos eleitos compreende: Nome completo, nacionalidade, estado civil, profissão, RG e órgão expedidor, CPF,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Deve-se observar que: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1) caso não seja dada a posse aos eleitos na mesma ocasião da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eleição, necessário é averbar também a ata de posse dos eleitos;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2) A administração só poderá ser exercida por pessoas maiores e capazes;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3) Deve constar da ata o mandato para o qual se está elegendo e dando posse ao(s) órgão(os) social(is). Referido mandato tem que obedecer a previsão estatutária;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4) As </w:t>
      </w:r>
      <w:r w:rsidR="00D21029">
        <w:rPr>
          <w:rFonts w:ascii="Lato" w:hAnsi="Lato"/>
          <w:color w:val="333333"/>
          <w:sz w:val="30"/>
          <w:szCs w:val="30"/>
          <w:shd w:val="clear" w:color="auto" w:fill="F2F2F2"/>
        </w:rPr>
        <w:t>assembleias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 devem ser convocadas e instaladas de conformidade com o estatuto social da associação, devendo constar tais dados na ata;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5) Por força do artigo 2.031 da Lei nº 10.406, de 10 de janeiro de 2002, as associações, sociedades e fundações, constituídas na forma das leis anteriores, deverão se adaptar às disposições do novo Código Civil. Desta forma, se a associação ainda não promoveu a adequação de seu estatuto social às disposições do novo Código Civil, deverá promovê-la antes da averbação da ata de eleição, apresentando o estatuto social adaptado para a devida averbação, juntamente com a ata da </w:t>
      </w:r>
      <w:r w:rsidR="00D21029">
        <w:rPr>
          <w:rFonts w:ascii="Lato" w:hAnsi="Lato"/>
          <w:color w:val="333333"/>
          <w:sz w:val="30"/>
          <w:szCs w:val="30"/>
          <w:shd w:val="clear" w:color="auto" w:fill="F2F2F2"/>
        </w:rPr>
        <w:t>assembleia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 geral que o aprovou;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6) Em obediência à continuidade registral, a(s) ata(s) anteriores, ainda não averbadas, deverão ser apresentadas para a competente averbação.</w:t>
      </w:r>
    </w:p>
    <w:sectPr w:rsidR="007022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FA"/>
    <w:rsid w:val="005017FA"/>
    <w:rsid w:val="00702281"/>
    <w:rsid w:val="00D2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0771"/>
  <w15:chartTrackingRefBased/>
  <w15:docId w15:val="{F669CA10-52AC-411D-9FB7-2EA36DF5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017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2</cp:revision>
  <dcterms:created xsi:type="dcterms:W3CDTF">2022-05-25T13:45:00Z</dcterms:created>
  <dcterms:modified xsi:type="dcterms:W3CDTF">2022-05-25T13:59:00Z</dcterms:modified>
</cp:coreProperties>
</file>