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B2F3" w14:textId="0F67E9BE" w:rsidR="00EF5EF2" w:rsidRDefault="008441AF">
      <w:r>
        <w:rPr>
          <w:rStyle w:val="Forte"/>
          <w:rFonts w:ascii="Lato" w:hAnsi="Lato"/>
          <w:color w:val="333333"/>
          <w:sz w:val="30"/>
          <w:szCs w:val="30"/>
        </w:rPr>
        <w:t>Documentação necessária para registro de associações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Livro Ata da associação;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- 02 (duas) vias digitadas da ata de constituição e do estatuto social, com as assinaturas dos associados em todas as folhas;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Cópias dos documentos pessoais dos associados (RG e CPF);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Requerimento firmado pelo representante legal da associação (com firma reconhecida), solicitando o registro do ato constitutivo no Serviço de Registro Civil de Pessoas Jurídicas, com fulcro no artigo 121 da Lei nº 6.015/73;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- Lista de Presenças na </w:t>
      </w:r>
      <w:r w:rsidR="006528B9">
        <w:rPr>
          <w:rFonts w:ascii="Lato" w:hAnsi="Lato"/>
          <w:color w:val="333333"/>
          <w:sz w:val="30"/>
          <w:szCs w:val="30"/>
          <w:shd w:val="clear" w:color="auto" w:fill="F2F2F2"/>
        </w:rPr>
        <w:t>Assembleia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. Aconselha-se que a associação mantenha um livro de presenças, a fim de consignar as assinaturas de todos os presentes às </w:t>
      </w:r>
      <w:r w:rsidR="006528B9">
        <w:rPr>
          <w:rFonts w:ascii="Lato" w:hAnsi="Lato"/>
          <w:color w:val="333333"/>
          <w:sz w:val="30"/>
          <w:szCs w:val="30"/>
          <w:shd w:val="clear" w:color="auto" w:fill="F2F2F2"/>
        </w:rPr>
        <w:t>assembleias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 e reuniões;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Deve-se observar que: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1) o ato constitutivo deve conter os requisitos previstos nos artigos 46 e 54 do Código Civil (abaixo transcritos);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2) A administração só poderá ser exercida por pessoas maiores e capazes;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3) Devem constar da ata de constituição os seguintes dados essenciais: - deliberação e aprovação da constituição da associação e do nome adotado pelo ente jurídico; - deliberação e aprovação do estatuto social; - deliberação e aprovação e posse dos eleitos para os órgãos sociais (diretoria e conselho fiscal), observando-se a composição prevista no estatuto social, com o preenchimento de todos os cargos, consignando-se, ainda, o mandato para o qual se está elegendo e dando posse ao(s) órgão(os) social(is). Referido mandato tem que obedecer a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previsão estatutária;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4) Deve constar do ato constitutivo a qualificação de todos os associados fundadores e dos eleitos para os órgãos sociais, observando-se que esta (qualificação) compreende: Nome completo, nacionalidade, estado civil, profissão, RG e órgão expedidor, CPF, e endereço completo;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5) Observar que as associações são pessoas jurídicas constituídas/organizadas para fins não econômicos (art. 53 do Código Civil);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6) Observar as disposições dos artigos 53 a 61 do Código Civil, que tratam das associações;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7) Apor, no ato constitutivo (ata e estatuto), visto de advogado, conforme preceitua o art.1º, parágrafo 2º, da Lei nº 8.906, de 04 de julho de 1994 – Estatuto da Ordem dos Advogados do Brasil.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Art. 46 do Código Civil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Art. 46. O registro declarará: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 - a denominação, os fins, a sede, o tempo de duração e o fundo social, quando houver;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 - o nome e a individualização dos fundadores ou instituidores, e dos diretores;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III - o modo por que se administra e representa, ativa e passivamente, judicial e extrajudicialmente;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IV - se o ato constitutivo é reformável no tocante à administração, e de que modo;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V - se os membros respondem, ou não, subsidiariamente, pelas obrigações sociais;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VI - as condições de extinção da pessoa jurídica e o destino do seu patrimônio, nesse caso.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Artigo 54 do Código Civil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Art. 54. Sob pena de nulidade, o estatuto das associações conterá: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 - a denominação, os fins e a sede da associação;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 - os requisitos para a admissão, demissão e exclusão dos associados;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III - os direitos e deveres dos associados;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IV - as fontes de recursos para sua manutenção;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 – o modo de constituição e de funcionamento dos órgãos deliberativos;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(Redação dada pela Lei nº 11.127, de 2005)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VI - as condições para a alteração das disposições estatutárias e para a dissolução;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VII – a forma de gestão administrativa e de aprovação das respectivas contas.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(Incluído pela Lei nº 11.127, de 2005)</w:t>
      </w:r>
    </w:p>
    <w:sectPr w:rsidR="00EF5E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AF"/>
    <w:rsid w:val="006528B9"/>
    <w:rsid w:val="008441AF"/>
    <w:rsid w:val="00E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37A0"/>
  <w15:chartTrackingRefBased/>
  <w15:docId w15:val="{E2410842-5C71-44AD-9D4C-265B5B7A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44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2</cp:revision>
  <dcterms:created xsi:type="dcterms:W3CDTF">2022-05-25T14:48:00Z</dcterms:created>
  <dcterms:modified xsi:type="dcterms:W3CDTF">2022-05-25T14:51:00Z</dcterms:modified>
</cp:coreProperties>
</file>