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32B0" w14:textId="2C35FC90" w:rsidR="00265232" w:rsidRPr="00265232" w:rsidRDefault="00265232" w:rsidP="00265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232">
        <w:rPr>
          <w:rFonts w:ascii="Lato" w:eastAsia="Times New Roman" w:hAnsi="Lato" w:cs="Times New Roman"/>
          <w:b/>
          <w:bCs/>
          <w:color w:val="333333"/>
          <w:sz w:val="30"/>
          <w:szCs w:val="30"/>
          <w:lang w:eastAsia="pt-BR"/>
        </w:rPr>
        <w:t>Reconhecimento de Firma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shd w:val="clear" w:color="auto" w:fill="F2F2F2"/>
          <w:lang w:eastAsia="pt-BR"/>
        </w:rPr>
        <w:t>Reconhecimento de Firma por Semelhança: "É o reconhecimento por meio do qual o tabelião afirma que a assinatura que lhe foi apresentada é semelhante àquela que consta de seus arquivos (cartão de assinatura)."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shd w:val="clear" w:color="auto" w:fill="F2F2F2"/>
          <w:lang w:eastAsia="pt-BR"/>
        </w:rPr>
        <w:t>Reconhecimento de Firma por Autenticidade: "É aquele em que o tabelião afirma que a assinatura é de determinada pessoa, pois o ato foi assinado na sua presença, após a pessoa ter sido identificada por ele. É obrigatório para alguns negócios, como nas transferências de veículos e de pontos por infração de trânsito."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b/>
          <w:bCs/>
          <w:color w:val="333333"/>
          <w:sz w:val="30"/>
          <w:szCs w:val="30"/>
          <w:lang w:eastAsia="pt-BR"/>
        </w:rPr>
        <w:t xml:space="preserve">Confira abaixo </w:t>
      </w:r>
      <w:r w:rsidRPr="00265232">
        <w:rPr>
          <w:rFonts w:ascii="Lato" w:eastAsia="Times New Roman" w:hAnsi="Lato" w:cs="Times New Roman"/>
          <w:b/>
          <w:bCs/>
          <w:color w:val="333333"/>
          <w:sz w:val="30"/>
          <w:szCs w:val="30"/>
          <w:lang w:eastAsia="pt-BR"/>
        </w:rPr>
        <w:t>as diferenças</w:t>
      </w:r>
      <w:r w:rsidRPr="00265232">
        <w:rPr>
          <w:rFonts w:ascii="Lato" w:eastAsia="Times New Roman" w:hAnsi="Lato" w:cs="Times New Roman"/>
          <w:b/>
          <w:bCs/>
          <w:color w:val="333333"/>
          <w:sz w:val="30"/>
          <w:szCs w:val="30"/>
          <w:lang w:eastAsia="pt-BR"/>
        </w:rPr>
        <w:t xml:space="preserve"> entre documentos sem e com valor econômico, para fins de reconhecimento de firma por semelhança: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</w:p>
    <w:p w14:paraId="799A0FB7" w14:textId="77777777" w:rsidR="00265232" w:rsidRDefault="00265232" w:rsidP="00265232">
      <w:pPr>
        <w:shd w:val="clear" w:color="auto" w:fill="E8F8F5"/>
        <w:spacing w:after="0" w:line="413" w:lineRule="atLeast"/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</w:pPr>
      <w:r w:rsidRPr="00265232">
        <w:rPr>
          <w:rFonts w:ascii="Lato" w:eastAsia="Times New Roman" w:hAnsi="Lato" w:cs="Times New Roman"/>
          <w:b/>
          <w:bCs/>
          <w:color w:val="333333"/>
          <w:sz w:val="30"/>
          <w:szCs w:val="30"/>
          <w:lang w:eastAsia="pt-BR"/>
        </w:rPr>
        <w:t>Documentos COM valor econômico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Alterações de Contrato Social (contendo disposição sobre composição e distribuição de capital).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Alvarás para levantamento de valores.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Atas de instituição de sociedade e capital.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Cartas de anuência que contenham quitação.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 de honorários.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 de transmissão onerosa de direitos possessórios.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adesão (a outro contrato com valor econômico).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arrendamento em geral.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cessão de compromisso de venda e compra.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comodato (puro ou modal).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compra de cotas de qualquer natureza.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compra de título de clube.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confissão de dívida.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dação em pagamento.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lastRenderedPageBreak/>
        <w:t>Contratos de doação (pura ou com encargo).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empréstimo em geral.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fiança.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financiamento.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gravação de CDs e de apresentações artísticas.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locação.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renegociação de dívidas.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transferência de embarcações e aeronaves.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de venda e compra.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Contratos para venda de passe escolar.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Letras de câmbio.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Notas promissórias.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Procurações que contenham poderes para quitação e realização de acordos, transações ou administração sobre valores, ou expressamente qualquer objetivo de cunho econômico, exceto as exclusivamente "ad judicia".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Termos de entrega de veículos com quitação.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Termos de liberação de veículo por banco, consórcio ou financiadora.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Termos de quitação e entrega de prêmios de seguro ou loterias.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Termos de transferência de linha telefônica.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Termos de responsabilidade por multas de trânsito.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b/>
          <w:bCs/>
          <w:color w:val="333333"/>
          <w:sz w:val="30"/>
          <w:szCs w:val="30"/>
          <w:lang w:eastAsia="pt-BR"/>
        </w:rPr>
        <w:t>Documentos SEM valor econômico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 xml:space="preserve">Como o próprio nome já diz, são aqueles em que não há negociação. Normalmente são meras declarações. </w:t>
      </w:r>
    </w:p>
    <w:p w14:paraId="3E854C19" w14:textId="41C69049" w:rsidR="00265232" w:rsidRPr="00265232" w:rsidRDefault="00265232" w:rsidP="00265232">
      <w:pPr>
        <w:shd w:val="clear" w:color="auto" w:fill="E8F8F5"/>
        <w:spacing w:after="0" w:line="413" w:lineRule="atLeast"/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</w:pP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t>São exemplos: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Atas em geral com cunho meramente declaratório.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Autorizações para abertura de contas.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Autorizações para embarque.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Autorizações para prática de esporte de menor.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Autorizações para retirada de documentos.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lastRenderedPageBreak/>
        <w:t>Autorizações para viagens.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Cartas de anuência sem quitação.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Cartas de preposição.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Certidões de cartórios.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Declarações de convivência em união estável.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Declarações de exumação de corpo.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Declarações de FGTS.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Declarações de homonímia.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Declarações de perda de cheques.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Declarações de rendimentos.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Declarações de vida, pobreza, residência e exumação de corpo.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Declarações para fins previdenciários ou militares.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Letras de música.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Notas fiscais.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Plantas.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Procurações "ad judicia".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Procurações sem conteúdo econômico.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Sinais públicos em qualquer documento.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Termos de entrega de veículos sem quitação.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  <w:t>Termos de vistoria.</w:t>
      </w:r>
    </w:p>
    <w:p w14:paraId="62A11745" w14:textId="1AC543D6" w:rsidR="001F0582" w:rsidRPr="00265232" w:rsidRDefault="00265232" w:rsidP="00265232"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b/>
          <w:bCs/>
          <w:color w:val="333333"/>
          <w:sz w:val="30"/>
          <w:szCs w:val="30"/>
          <w:lang w:eastAsia="pt-BR"/>
        </w:rPr>
        <w:t>Importante: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shd w:val="clear" w:color="auto" w:fill="F2F2F2"/>
          <w:lang w:eastAsia="pt-BR"/>
        </w:rPr>
        <w:t>Item 179, NSCGJ. É obrigatória a apresentação do original de documento de identificação (Registro Geral; Carteira Nacional de Habilitação, modelo atual, instituído pela Lei n.º 9.503/97; carteira de exercício profissional expedida pelos entes criados por Lei Federal, nos termos da Lei n.º 6.206/75; passaporte, que, na hipótese de estrangeiro, deve estar com o prazo do visto não expirado; Carteira de Trabalho e Previdência Social, modelo atual, informatizado, e carteira de identificação funcional dos Magistrados, membros do Ministério Público e da Defensoria Pública, para abertura da ficha-padrão.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lastRenderedPageBreak/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shd w:val="clear" w:color="auto" w:fill="F2F2F2"/>
          <w:lang w:eastAsia="pt-BR"/>
        </w:rPr>
        <w:t>179.1. O Tabelião de Notas está autorizado a extrair, às expensas dos interessados, cópia reprográfica do documento de identidade apresentado para preenchimento da ficha-padrão, que será devidamente arquivada com a ficha-padrão para fácil verificação.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shd w:val="clear" w:color="auto" w:fill="F2F2F2"/>
          <w:lang w:eastAsia="pt-BR"/>
        </w:rPr>
        <w:t xml:space="preserve">179.2. O Tabelião de Notas deve recusar a abertura da ficha quando o documento de identidade contenha caracteres morfológicos geradores de insegurança (documentos </w:t>
      </w:r>
      <w:proofErr w:type="spellStart"/>
      <w:r w:rsidRPr="00265232">
        <w:rPr>
          <w:rFonts w:ascii="Lato" w:eastAsia="Times New Roman" w:hAnsi="Lato" w:cs="Times New Roman"/>
          <w:color w:val="333333"/>
          <w:sz w:val="30"/>
          <w:szCs w:val="30"/>
          <w:shd w:val="clear" w:color="auto" w:fill="F2F2F2"/>
          <w:lang w:eastAsia="pt-BR"/>
        </w:rPr>
        <w:t>replastificados</w:t>
      </w:r>
      <w:proofErr w:type="spellEnd"/>
      <w:r w:rsidRPr="00265232">
        <w:rPr>
          <w:rFonts w:ascii="Lato" w:eastAsia="Times New Roman" w:hAnsi="Lato" w:cs="Times New Roman"/>
          <w:color w:val="333333"/>
          <w:sz w:val="30"/>
          <w:szCs w:val="30"/>
          <w:shd w:val="clear" w:color="auto" w:fill="F2F2F2"/>
          <w:lang w:eastAsia="pt-BR"/>
        </w:rPr>
        <w:t>, documentos com foto muito antiga, dentre outros).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shd w:val="clear" w:color="auto" w:fill="F2F2F2"/>
          <w:lang w:eastAsia="pt-BR"/>
        </w:rPr>
        <w:t>179.3. Não serão aceitas, como documento de identidade, identificações funcionais ou outras sem validade prevista em lei.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shd w:val="clear" w:color="auto" w:fill="F2F2F2"/>
          <w:lang w:eastAsia="pt-BR"/>
        </w:rPr>
        <w:t>179.4. Os maiores de 16 anos podem abrir ficha-padrão, devendo o Tabelião de Notas consignar a incapacidade relativa do menor de 18 anos.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shd w:val="clear" w:color="auto" w:fill="F2F2F2"/>
          <w:lang w:eastAsia="pt-BR"/>
        </w:rPr>
        <w:t>179.5. O estrangeiro não residente no território nacional será identificado à luz de seu passaporte, salvo quando houver tratado internacional permitindo a aceitação do documento civil de identificação de seu país.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shd w:val="clear" w:color="auto" w:fill="F2F2F2"/>
          <w:lang w:eastAsia="pt-BR"/>
        </w:rPr>
        <w:t>Item 182, NSCGJ. O Tabelião de Notas, expondo as suas razões ao interessado, por escrito apenas se requerido, pode exigir a renovação das assinaturas ou o preenchimento de uma ficha-padrão atual.</w:t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lang w:eastAsia="pt-BR"/>
        </w:rPr>
        <w:br/>
      </w:r>
      <w:r w:rsidRPr="00265232">
        <w:rPr>
          <w:rFonts w:ascii="Lato" w:eastAsia="Times New Roman" w:hAnsi="Lato" w:cs="Times New Roman"/>
          <w:color w:val="333333"/>
          <w:sz w:val="30"/>
          <w:szCs w:val="30"/>
          <w:shd w:val="clear" w:color="auto" w:fill="F2F2F2"/>
          <w:lang w:eastAsia="pt-BR"/>
        </w:rPr>
        <w:t>Item 189, NSCGJ. É vedado o reconhecimento de firma em documentos sem data, incompletos ou que contenham, no contexto, espaços em branco.</w:t>
      </w:r>
    </w:p>
    <w:sectPr w:rsidR="001F0582" w:rsidRPr="002652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B5"/>
    <w:rsid w:val="001F0582"/>
    <w:rsid w:val="00265232"/>
    <w:rsid w:val="00425AB5"/>
    <w:rsid w:val="007603DA"/>
    <w:rsid w:val="008E75B8"/>
    <w:rsid w:val="00BD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6F30"/>
  <w15:chartTrackingRefBased/>
  <w15:docId w15:val="{BBC85369-299C-4F08-87E5-1120B1DD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25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2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2959">
          <w:marLeft w:val="0"/>
          <w:marRight w:val="0"/>
          <w:marTop w:val="0"/>
          <w:marBottom w:val="0"/>
          <w:divBdr>
            <w:top w:val="single" w:sz="6" w:space="19" w:color="CAE7E2"/>
            <w:left w:val="single" w:sz="6" w:space="19" w:color="CAE7E2"/>
            <w:bottom w:val="single" w:sz="6" w:space="19" w:color="CAE7E2"/>
            <w:right w:val="single" w:sz="6" w:space="19" w:color="CAE7E2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802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6</cp:revision>
  <dcterms:created xsi:type="dcterms:W3CDTF">2022-04-28T19:55:00Z</dcterms:created>
  <dcterms:modified xsi:type="dcterms:W3CDTF">2022-05-26T20:25:00Z</dcterms:modified>
</cp:coreProperties>
</file>