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2885F" w14:textId="3737A262" w:rsidR="00C7664F" w:rsidRPr="00D77B71" w:rsidRDefault="00D77B71" w:rsidP="00D77B71">
      <w:r>
        <w:rPr>
          <w:rStyle w:val="Forte"/>
          <w:rFonts w:ascii="Lato" w:hAnsi="Lato"/>
          <w:color w:val="333333"/>
          <w:sz w:val="30"/>
          <w:szCs w:val="30"/>
        </w:rPr>
        <w:t xml:space="preserve">Requerimento de </w:t>
      </w:r>
      <w:r>
        <w:rPr>
          <w:rStyle w:val="Forte"/>
          <w:rFonts w:ascii="Lato" w:hAnsi="Lato"/>
          <w:color w:val="333333"/>
          <w:sz w:val="30"/>
          <w:szCs w:val="30"/>
        </w:rPr>
        <w:t>divórcio</w:t>
      </w:r>
      <w:r>
        <w:rPr>
          <w:rStyle w:val="Forte"/>
          <w:rFonts w:ascii="Lato" w:hAnsi="Lato"/>
          <w:color w:val="333333"/>
          <w:sz w:val="30"/>
          <w:szCs w:val="30"/>
        </w:rPr>
        <w:t xml:space="preserve"> e separação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Divórcio e separação, a Lei nº 11.441/97 também dispõe que tais atos podem ser celebrados através de escritura pública.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O principal requisito é o consenso entre o casal quanto à decisão de separação ou divórcio. Se houver litígio entre eles, o processo deve necessariamente ser judicial.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Além disso, não pode haver filhos menores ou incapazes. Somente se o casal não tiver filhos ou se os filhos forem maiores de idade ou emancipados é possível realizar o ato em tabelionato.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A escritura de separação ou divórcio não depende de homologação judicial e deve ser averbada no Cartório de Registro Civil para alteração do estado civil das partes, bem como deve ser encaminhada aos demais órgãos competentes para a devida transferência de bens ajustada na escritura.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Quando solteiro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RG ou Carteira Profissional posterior a 2010 e/ou Carteira Nacional de Habilitação;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CPF;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Certidão de casamento;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Profissões e endereço completo.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Quando casados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 xml:space="preserve">- RG ou Carteira Profissional posterior a 2010 e/ou Carteira </w:t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lastRenderedPageBreak/>
        <w:t>Nacional de Habilitação;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CPF;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Certidão de casamento;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Se mantiver relação de união estável com alguém e quiser declarar, apresentar RG e CPF do companheiro, o qual também deverá, dependendo do caso, outorgar a Inventário;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Profissões e endereço completo.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Quando separado, divorciado ou viúvo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RG ou Carteira Profissional posterior a 2010 e/ou Carteira Nacional de Habilitação;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CPF;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Certidão de casamento;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Se mantiver relação de união estável com alguém e quiser declarar, apresentar RG e CPF do companheiro, o qual também deverá, dependendo do caso, outorgar a Inventário;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Profissões e endereço completo.</w:t>
      </w:r>
    </w:p>
    <w:sectPr w:rsidR="00C7664F" w:rsidRPr="00D77B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143"/>
    <w:rsid w:val="003C0143"/>
    <w:rsid w:val="00C7664F"/>
    <w:rsid w:val="00D7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AD10F"/>
  <w15:chartTrackingRefBased/>
  <w15:docId w15:val="{27957A25-69A0-4791-B612-512154ABE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3C01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Meliano</dc:creator>
  <cp:keywords/>
  <dc:description/>
  <cp:lastModifiedBy>Matheus Meliano</cp:lastModifiedBy>
  <cp:revision>3</cp:revision>
  <dcterms:created xsi:type="dcterms:W3CDTF">2022-04-28T19:43:00Z</dcterms:created>
  <dcterms:modified xsi:type="dcterms:W3CDTF">2022-05-06T14:12:00Z</dcterms:modified>
</cp:coreProperties>
</file>