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6A97" w14:textId="5F2EB6E7" w:rsidR="00957295" w:rsidRPr="0062589F" w:rsidRDefault="0062589F" w:rsidP="0062589F">
      <w:r>
        <w:rPr>
          <w:rStyle w:val="Forte"/>
          <w:rFonts w:ascii="Lato" w:hAnsi="Lato"/>
          <w:color w:val="333333"/>
          <w:sz w:val="30"/>
          <w:szCs w:val="30"/>
        </w:rPr>
        <w:t>Requerimento para inventário e partilha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O inventário por meio de escritura pública - inventário extrajudicial, instituído pela Lei nº 11.441 de 24.01.2007, trouxe maior agilidade à transmissão da herança, além de facilitar a venda dos imóveis.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 partilha extrajudicial pode ser realizada quando os herdeiros são capazes e concordam quanto à divisão da herança e quando o autor da herança não houver deixado testamento. Para tanto, devem comparecer ao tabelião, acompanhados de um advogado de sua confiança.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ESCOLHA DO TABELIÃO - Os herdeiros podem livremente escolher o Tabelião de sua preferência. São inaplicáveis à partilha extrajudicial as regras de competência do artigo 96 do Código de Processo Civil quanto ao domicílio do autor da herança (artigo 1º da Resolução nº 35 do CNJ).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PRAZO - O prazo para o inventário é de 60 dias contados do óbito, mas nada impede a elaboração de escritura de inventário antigo. Em tais casos, no entanto, há incidência de multa pelo atraso no pagamento do imposto de transmissão - ITCMD.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DÍVIDAS DO ESPÓLIO - Em regra, a existência de credores do espólio não impede a realização do inventário extrajudicial, isto porque a herança responde pelas dívidas do extinto (artigo 27 da Resolução nº 35 do CNJ). Depois de partilhada, cada herdeiro só responde até a totalidade do quinhão recebido.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A escritura pública de partilha é título hábil, não só para a transmissão de bens imóveis, mas também para levantamento de valores perante as instituições financeiras e para o registro civil. Uma vez registrada na matrícula do imóvel, opera a transmissão de domínio aos herdeiros, podendo eles livremente dispor do bem (vender, doar, etc.) através de escritura pública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registrada.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analfabetos e impossibilitados de assinar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(que será colhida a digital no Inventário) e do outorgado, será necessário mais três pessoas assinando no ato da Inventário: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de 1 pessoa assinando à rogo (a qual representa o outorgante);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das 2 pessoas assinando como testemunhas.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portador de deficiência visual assina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será necessário mais três pessoas assinando no ato da Inventário: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das 2 pessoas assinando como testemunhas;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lastRenderedPageBreak/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portador de deficiência visual não assina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será necessário mais duas pessoas assinando como testemunhas: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de 1 pessoa assinando à rogo (a qual representa o outorgante);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Identidade ou Carteira de Identidade Profissional posterior a 2010 e/ou Carteira Nacional de Habilitação;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CPF;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Dados de estado civil, profissão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Documentos das 2 pessoas assinando como testemunhas.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outorgante está hospitalizado ou impossibilitado de comparecer até a serventia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Além dos documentos do outorgante e do outorgado, e se for o caso documentos do á rogo/testemunhas, será necessário: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Atestado médico de lucidez do mesmo dia em que for assinada ou colhida a digital no Inventário.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Quando pessoa jurídica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Contrato Social Consolidado, com a última alteração contratual ou Estatuto Social com a última ata de eleição e documentos posteriores arquivados na Junta Comercial do Estado competente;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- Inscrição no CNPJ;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RG e/ou Carteira Nacional de Habilitação e CPF dos sócios administradores, com seus estado civil, profissões e endereços;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Certidão Simplificada da Junta Comercial Atualizada (validade de 90 dias), se for de outro Estado;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Terá prazo de validade (Quando for LTDA. É obrigatório ter prazo de validade).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Dos Outorgados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Todos os dados acima, que puderem ser fornecidos para que o instrumento tenha validade quando apresentado para a prática do ato definitivo. *OUTROS DOCUMENTOS CONFORME CASO.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Documentos para Inventário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Quando imóvel - matrícula ou escritura;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Quando veículo - Duto ou certificado de registro;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Conta bancárias - cópia do cartão magnético ou documento equivalente;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Títulos, sepultura, pensões etc. - documentos que comprovem a titularidade.</w:t>
      </w:r>
    </w:p>
    <w:sectPr w:rsidR="00957295" w:rsidRPr="00625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54"/>
    <w:rsid w:val="00212F54"/>
    <w:rsid w:val="0062589F"/>
    <w:rsid w:val="00957295"/>
    <w:rsid w:val="0098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D28A"/>
  <w15:chartTrackingRefBased/>
  <w15:docId w15:val="{B1E928F5-EA14-445B-9F2C-2F20949B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12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689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4</cp:revision>
  <dcterms:created xsi:type="dcterms:W3CDTF">2022-04-28T19:45:00Z</dcterms:created>
  <dcterms:modified xsi:type="dcterms:W3CDTF">2022-05-06T14:15:00Z</dcterms:modified>
</cp:coreProperties>
</file>